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90d67ceeda0281437da5ce4b3bcd56e484d7db"/>
    <w:p>
      <w:pPr>
        <w:pStyle w:val="Heading3"/>
      </w:pPr>
      <w:r>
        <w:t xml:space="preserve">Доклад об антимонопольном комплаенсе управы района Ивановское города Москвы за 2021 год</w:t>
      </w:r>
    </w:p>
    <w:p>
      <w:pPr>
        <w:pStyle w:val="FirstParagraph"/>
      </w:pPr>
      <w:r>
        <w:t xml:space="preserve">31.03.2022</w:t>
      </w:r>
    </w:p>
    <w:p>
      <w:pPr>
        <w:pStyle w:val="BodyText"/>
      </w:pPr>
      <w:hyperlink r:id="rId20">
        <w:r>
          <w:rPr>
            <w:rStyle w:val="Hyperlink"/>
          </w:rPr>
          <w:t xml:space="preserve">Доклад 2021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http://ivanovskoe.mos.ru/antitrust-complex/detail/10721504.html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c0e/doklad-2021.pdf" TargetMode="Externa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antitrust-complex/detail/10721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c0e/doklad-2021.pdf" TargetMode="Externa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antitrust-complex/detail/10721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2024-03-30T19:32:13Z</dcterms:created>
  <dcterms:modified xsi:type="dcterms:W3CDTF">2024-03-30T19:32:13Z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