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b053f7f01d33282589d3d253a6d0f61d1c67d5"/>
    <w:p>
      <w:pPr>
        <w:pStyle w:val="Heading3"/>
      </w:pPr>
      <w:r>
        <w:t xml:space="preserve">Доклад об антимонопольном комплаенсе управы района Ивановское города Москвы за 2023 год</w:t>
      </w:r>
    </w:p>
    <w:p>
      <w:pPr>
        <w:pStyle w:val="FirstParagraph"/>
      </w:pPr>
      <w:r>
        <w:t xml:space="preserve">09.04.2024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ДОКЛАД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http://ivanovskoe.mos.ru/antitrust-complex/detail/12303220.html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Docs/&#1044;&#1086;&#1082;&#1083;&#1072;&#1076;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2303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Docs/&#1044;&#1086;&#1082;&#1083;&#1072;&#1076;.pdf" TargetMode="External" /><Relationship Type="http://schemas.openxmlformats.org/officeDocument/2006/relationships/hyperlink" Id="rId22" Target="http://ivanovskoe.mos.ru" TargetMode="External" /><Relationship Type="http://schemas.openxmlformats.org/officeDocument/2006/relationships/hyperlink" Id="rId21" Target="http://ivanovskoe.mos.ru/antitrust-complex/detail/12303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2024-04-10T03:01:20Z</dcterms:created>
  <dcterms:modified xsi:type="dcterms:W3CDTF">2024-04-10T03:01:20Z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