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f2fbbdb9e0e59607fd33afc79dc4391e79265a"/>
    <w:p>
      <w:pPr>
        <w:pStyle w:val="Heading3"/>
      </w:pPr>
      <w:r>
        <w:t xml:space="preserve">Форма для предложений и замечаний организаций и граждан в отношении перечня правовых актов управы района Ивановское города Москвы</w:t>
      </w:r>
    </w:p>
    <w:p>
      <w:pPr>
        <w:pStyle w:val="FirstParagraph"/>
      </w:pPr>
      <w:r>
        <w:t xml:space="preserve">25.05.2020</w:t>
      </w:r>
    </w:p>
    <w:p>
      <w:pPr>
        <w:pStyle w:val="BodyText"/>
      </w:pPr>
      <w:hyperlink r:id="rId20">
        <w:r>
          <w:rPr>
            <w:rStyle w:val="Hyperlink"/>
          </w:rPr>
          <w:t xml:space="preserve">Ивановское уведомление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http://ivanovskoe.mos.ru/antitrust-complex/detail/8917922.html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a10/ivanovskoe-uvedomlenie.doc" TargetMode="External" /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antitrust-complex/detail/89179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a10/ivanovskoe-uvedomlenie.doc" TargetMode="External" /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antitrust-complex/detail/89179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2023-09-22T06:07:23Z</dcterms:created>
  <dcterms:modified xsi:type="dcterms:W3CDTF">2023-09-22T06:07:23Z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