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убличные-слушания-27-марта"/>
    <w:p>
      <w:pPr>
        <w:pStyle w:val="Heading3"/>
      </w:pPr>
      <w:r>
        <w:t xml:space="preserve">Публичные слушания 27 марта</w:t>
      </w:r>
    </w:p>
    <w:p>
      <w:pPr>
        <w:pStyle w:val="FirstParagraph"/>
      </w:pPr>
      <w:r>
        <w:t xml:space="preserve">20.03.2013</w:t>
      </w:r>
    </w:p>
    <w:p>
      <w:pPr>
        <w:pStyle w:val="BodyText"/>
      </w:pPr>
      <w:r>
        <w:rPr>
          <w:bCs/>
          <w:b/>
        </w:rPr>
        <w:t xml:space="preserve">Публичные слушания по материалам:</w:t>
      </w:r>
      <w:r>
        <w:br/>
      </w:r>
      <w:r>
        <w:t xml:space="preserve">1) «Материалы по обоснованию Градостроительного плана земельного участка (ГПЗУ) для размещения объектов спортивно-рекреационного назначения (физкультурно-оздоровительный комплекс) по адресу: улица Сталеваров, вл. 22 — 24 (ВАО)»;</w:t>
      </w:r>
      <w:r>
        <w:br/>
      </w:r>
      <w:r>
        <w:t xml:space="preserve">2) «Проект межевания квартала, ограниченного Саянской улицей, улицей Сталеваров, Прокатной улицей, улицей Молостовых».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http://ivanovskoe.mos.ru/presscenter/news/detail/786311.html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Ивановское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vanovskoe.mos.ru" TargetMode="External" /><Relationship Type="http://schemas.openxmlformats.org/officeDocument/2006/relationships/hyperlink" Id="rId20" Target="http://ivanovskoe.mos.ru/presscenter/news/detail/78631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vanovskoe.mos.ru" TargetMode="External" /><Relationship Type="http://schemas.openxmlformats.org/officeDocument/2006/relationships/hyperlink" Id="rId20" Target="http://ivanovskoe.mos.ru/presscenter/news/detail/78631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2025-04-15T12:29:13Z</dcterms:created>
  <dcterms:modified xsi:type="dcterms:W3CDTF">2025-04-15T12:29:13Z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