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500fc6df682f756ce1b06aed9af0e08b0b13"/>
    <w:p>
      <w:pPr>
        <w:pStyle w:val="Heading3"/>
      </w:pPr>
      <w:r>
        <w:t xml:space="preserve">Онлайн-конференция исполняющего обязанности главы управы Алимовой З.И. с жителями района 21 марта</w:t>
      </w:r>
    </w:p>
    <w:p>
      <w:pPr>
        <w:pStyle w:val="FirstParagraph"/>
      </w:pPr>
      <w:r>
        <w:t xml:space="preserve">14.03.2013</w:t>
      </w:r>
    </w:p>
    <w:p>
      <w:pPr>
        <w:pStyle w:val="BodyText"/>
      </w:pPr>
      <w:r>
        <w:rPr>
          <w:bCs/>
          <w:b/>
        </w:rPr>
        <w:t xml:space="preserve">21 марта.</w:t>
      </w:r>
      <w:r>
        <w:t xml:space="preserve"> </w:t>
      </w:r>
      <w:r>
        <w:t xml:space="preserve">Онлайн-конференция исполняющего обязанности главы управы Алимовой З.И. с жителями района. Время проведения: 17.00–18.00.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http://ivanovskoe.mos.ru/presscenter/news/detail/786313.html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786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786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2025-07-19T23:39:03Z</dcterms:created>
  <dcterms:modified xsi:type="dcterms:W3CDTF">2025-07-19T23:39:03Z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