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6f4555a0f2c46d2d3fead9f5ab281f6ee555"/>
    <w:p>
      <w:pPr>
        <w:pStyle w:val="Heading3"/>
      </w:pPr>
      <w:r>
        <w:t xml:space="preserve">16 октября состоялась встреча исполняющего обязанности главы управы района Ивановское Головановой Н.М. с жителями района</w:t>
      </w:r>
    </w:p>
    <w:p>
      <w:pPr>
        <w:pStyle w:val="FirstParagraph"/>
      </w:pPr>
      <w:r>
        <w:t xml:space="preserve">17.10.2013</w:t>
      </w:r>
    </w:p>
    <w:p>
      <w:pPr>
        <w:pStyle w:val="BodyText"/>
      </w:pPr>
      <w:r>
        <w:t xml:space="preserve">16 октября в 19:00 в актовом зале управы состоялась встреча исполняющего обязанности главы управы района Ивановское Головановой Н.М. с жителями района . Тема: «Об итогах выполнения городской программы по благоустройству дворовых территорий в микрорайоне Южное Измайлово в 2013 году и перспективах на 2014 год».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http://ivanovskoe.mos.ru/presscenter/news/detail/862693.html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62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862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2025-03-08T09:40:57Z</dcterms:created>
  <dcterms:modified xsi:type="dcterms:W3CDTF">2025-03-08T09:40:57Z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