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efcc67cdf0a4d3aee30deca447606ab83a5ca7"/>
    <w:p>
      <w:pPr>
        <w:pStyle w:val="Heading3"/>
      </w:pPr>
      <w:r>
        <w:t xml:space="preserve">Эксперты столичного Роскадастра продолжают отвечать на вопросы иностранных граждан о предоставлении данных из ЕГРН</w:t>
      </w:r>
    </w:p>
    <w:p>
      <w:pPr>
        <w:pStyle w:val="FirstParagraph"/>
      </w:pPr>
      <w:r>
        <w:t xml:space="preserve">25.09.2023</w:t>
      </w:r>
    </w:p>
    <w:p>
      <w:pPr>
        <w:pStyle w:val="BodyText"/>
      </w:pPr>
      <w:r>
        <w:rPr>
          <w:bCs/>
          <w:b/>
        </w:rPr>
        <w:t xml:space="preserve">В Роскадастр по Москве продолжают поступать вопросы о порядке получения сведений из Единого государственного реестра недвижимости (ЕГРН) гражданами стран Ближнего зарубежья, не находящимися на территории Российской Федерации. Представляем вашему вниманию наиболее интересные из них.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Я являюсь гражданином страны Ближнего зарубежья и нахожусь за пределами Российской Федерации. Как мне получить в отношении себя сведения из ЕГРН ограниченного доступа?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случае, если между Российской Федерацией и иностранным государством заключён международный договор об оказании юридической помощи, нотариус может направить соответствующий запрос в компетентный орган своей страны. После его рассмотрения и проверки документ направляется в Министерство Юстиции РФ.</w:t>
      </w:r>
    </w:p>
    <w:p>
      <w:pPr>
        <w:pStyle w:val="BodyText"/>
      </w:pPr>
      <w:r>
        <w:t xml:space="preserve">К перечню стран, между которыми заключён такой договор, относятся: Российская Федерация, Азербайджанская Республика, Республика Армения, Республика Беларусь, Республика Казахстан, Киргизская Республика, Республика Таджикистан и Республика Узбекистан.</w:t>
      </w:r>
    </w:p>
    <w:p>
      <w:pPr>
        <w:pStyle w:val="BodyText"/>
      </w:pPr>
      <w:r>
        <w:t xml:space="preserve">Иным вариантом предоставления сведений из ЕГРН ограниченного доступа в отношении Вас является оформление нотариально заверенной доверенности на гражданина Российской Федерации на право осуществления такого запроса.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Может ли нотариус моей страны обратиться напрямую в филиал ППК «Роскадастр», как и нотариус Российской Федерации?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Нет. Полномочия участников гражданских правоотношений в Российской Федерации определяются в том числе правовым статусом (гражданин, не гражданин; резидент, не резидент) и нахождением их под юрисдикцией Российской Федерации.</w:t>
      </w:r>
    </w:p>
    <w:p>
      <w:pPr>
        <w:pStyle w:val="BodyText"/>
      </w:pPr>
      <w:r>
        <w:t xml:space="preserve">«Нотариусы иностранных государств не относятся к числу лиц (органов), которым в соответствии с указанными нормами могут быть предоставлены сведения ограниченного доступа. Методическими рекомендациями об организации работы по исполнению международных обязательств Российской Федерации в сфере правовой помощи, утверждёнными приказом Минюста России от 24.12.2007 №249, запрос о правовой помощи, поступивший с нарушением установленного международным договором порядка, а именно: инициаторами не являются компетентный иностранный орган или центральный аппарат Минюста России, подлежит направлению в центральный аппарат Минюста России без исполнения вместе с конвертом отправителя (или его копией)», – отметил</w:t>
      </w:r>
      <w:r>
        <w:t xml:space="preserve"> </w:t>
      </w:r>
      <w:r>
        <w:rPr>
          <w:bCs/>
          <w:b/>
        </w:rPr>
        <w:t xml:space="preserve">Алексей Некрасов, заместитель директора филиала ППК «Роскадастр»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http://ivanovskoe.mos.ru/rosreestr/detail/11850753.html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rosreestr/detail/118507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rosreestr/detail/118507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2025-04-15T12:40:37Z</dcterms:created>
  <dcterms:modified xsi:type="dcterms:W3CDTF">2025-04-15T12:40:37Z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