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75924c4da35876bf00c0ddcc5eefb901e5c48"/>
    <w:p>
      <w:pPr>
        <w:pStyle w:val="Heading3"/>
      </w:pPr>
      <w:r>
        <w:t xml:space="preserve">На земельном участке по адресу: ул.Сталеваров, вл.1Б, ведется строительство гаражно-технического комплекса за счет средств инвестора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t xml:space="preserve">Выпущено распоряжение префекта ВАО № 314-В-РП от 14.06.2011г. «Об утверждении акта о выборе земельного участка для строительства объекта гаражного назначения по адресу: ул.Сталеваров, вл.1Б».</w:t>
      </w:r>
    </w:p>
    <w:p>
      <w:pPr>
        <w:pStyle w:val="BodyText"/>
      </w:pPr>
      <w:r>
        <w:t xml:space="preserve">На основании обращения Гаражно-строительного кооператива (ГСК) «АвтоИвановец» Комитетом по архитектуре и градостроительству города Москвы подготовлен и утвержден Градостроительный план земельного участка№ RU77-134000-008734, предельное количество этажей – 9, емкость – 540 машиномест.</w:t>
      </w:r>
    </w:p>
    <w:p>
      <w:pPr>
        <w:pStyle w:val="BodyText"/>
      </w:pPr>
      <w:r>
        <w:t xml:space="preserve">Срок ввода объекта в эксплуатацию 2 квартал 2016 года.</w:t>
      </w:r>
    </w:p>
    <w:p>
      <w:pPr>
        <w:pStyle w:val="BodyText"/>
      </w:pPr>
      <w:r>
        <w:t xml:space="preserve">Более подробная информация о строительстве ГСК «Автоивановец» находится на сайте:</w:t>
      </w:r>
      <w:r>
        <w:t xml:space="preserve"> </w:t>
      </w:r>
      <w:r>
        <w:rPr>
          <w:u w:val="single"/>
        </w:rPr>
        <w:t xml:space="preserve">http://avtoivanovec.ru/.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http://ivanovskoe.mos.ru/stroitelstvo_i_rekonstruktsiya/zhilye_doma_infrastruktura/detail/2515090.html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stroitelstvo_i_rekonstruktsiya/zhilye_doma_infrastruktura/detail/2515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stroitelstvo_i_rekonstruktsiya/zhilye_doma_infrastruktura/detail/2515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2025-06-08T18:27:23Z</dcterms:created>
  <dcterms:modified xsi:type="dcterms:W3CDTF">2025-06-08T18:27:23Z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