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удьба-детей-в-наших-руках"/>
    <w:p>
      <w:pPr>
        <w:pStyle w:val="Heading3"/>
      </w:pPr>
      <w:r>
        <w:t xml:space="preserve">Судьба детей в наших руках!</w:t>
      </w:r>
    </w:p>
    <w:p>
      <w:pPr>
        <w:pStyle w:val="FirstParagraph"/>
      </w:pPr>
      <w:r>
        <w:t xml:space="preserve">07.10.2013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http://ivanovskoe.mos.ru/the-commission-on-affairs-of-minors/information-materials/detail/852546.html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the-commission-on-affairs-of-minors/information-materials/detail/852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the-commission-on-affairs-of-minors/information-materials/detail/852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2025-04-15T12:14:15Z</dcterms:created>
  <dcterms:modified xsi:type="dcterms:W3CDTF">2025-04-15T12:14:15Z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